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CF1E3">
      <w:pPr>
        <w:jc w:val="center"/>
        <w:rPr>
          <w:rFonts w:hint="eastAsia" w:asciiTheme="majorEastAsia" w:hAnsiTheme="majorEastAsia" w:eastAsiaTheme="majorEastAsia" w:cstheme="majorEastAsia"/>
          <w:b/>
          <w:bCs/>
          <w:sz w:val="40"/>
          <w:szCs w:val="48"/>
          <w:lang w:val="en-US" w:eastAsia="zh-CN"/>
        </w:rPr>
      </w:pPr>
      <w:r>
        <w:rPr>
          <w:rFonts w:hint="eastAsia" w:asciiTheme="majorEastAsia" w:hAnsiTheme="majorEastAsia" w:eastAsiaTheme="majorEastAsia" w:cstheme="majorEastAsia"/>
          <w:b/>
          <w:bCs/>
          <w:sz w:val="40"/>
          <w:szCs w:val="48"/>
          <w:lang w:val="en-US" w:eastAsia="zh-CN"/>
        </w:rPr>
        <w:t xml:space="preserve">润鲜现代化海洋牧场创新园三期（备选区5号）-海域使用权申请前期技术服务项目 </w:t>
      </w:r>
    </w:p>
    <w:p w14:paraId="45AD506B">
      <w:pPr>
        <w:jc w:val="center"/>
        <w:rPr>
          <w:rFonts w:hint="eastAsia" w:asciiTheme="majorEastAsia" w:hAnsiTheme="majorEastAsia" w:eastAsiaTheme="majorEastAsia" w:cstheme="majorEastAsia"/>
          <w:b/>
          <w:bCs/>
          <w:sz w:val="40"/>
          <w:szCs w:val="48"/>
          <w:lang w:val="en-US" w:eastAsia="zh-CN"/>
        </w:rPr>
      </w:pPr>
      <w:bookmarkStart w:id="0" w:name="_GoBack"/>
      <w:bookmarkEnd w:id="0"/>
      <w:r>
        <w:rPr>
          <w:rFonts w:hint="eastAsia" w:asciiTheme="majorEastAsia" w:hAnsiTheme="majorEastAsia" w:eastAsiaTheme="majorEastAsia" w:cstheme="majorEastAsia"/>
          <w:b/>
          <w:bCs/>
          <w:sz w:val="40"/>
          <w:szCs w:val="48"/>
          <w:lang w:val="en-US" w:eastAsia="zh-CN"/>
        </w:rPr>
        <w:t>采购需求内容</w:t>
      </w:r>
    </w:p>
    <w:p w14:paraId="51A2B397">
      <w:pPr>
        <w:jc w:val="center"/>
        <w:rPr>
          <w:rFonts w:hint="eastAsia" w:asciiTheme="majorEastAsia" w:hAnsiTheme="majorEastAsia" w:eastAsiaTheme="majorEastAsia" w:cstheme="majorEastAsia"/>
          <w:b/>
          <w:bCs/>
          <w:sz w:val="40"/>
          <w:szCs w:val="48"/>
          <w:lang w:val="en-US" w:eastAsia="zh-CN"/>
        </w:rPr>
      </w:pPr>
    </w:p>
    <w:p w14:paraId="7BC609BF">
      <w:pPr>
        <w:jc w:val="left"/>
        <w:rPr>
          <w:rFonts w:hint="eastAsia" w:asciiTheme="majorEastAsia" w:hAnsiTheme="majorEastAsia" w:eastAsiaTheme="majorEastAsia" w:cstheme="majorEastAsia"/>
          <w:b/>
          <w:bCs/>
          <w:sz w:val="28"/>
          <w:szCs w:val="36"/>
          <w:lang w:val="en-US" w:eastAsia="zh-CN"/>
        </w:rPr>
      </w:pPr>
      <w:r>
        <w:rPr>
          <w:rFonts w:hint="eastAsia" w:asciiTheme="majorEastAsia" w:hAnsiTheme="majorEastAsia" w:eastAsiaTheme="majorEastAsia" w:cstheme="majorEastAsia"/>
          <w:b/>
          <w:bCs/>
          <w:sz w:val="28"/>
          <w:szCs w:val="36"/>
          <w:lang w:val="en-US" w:eastAsia="zh-CN"/>
        </w:rPr>
        <w:t>一、 主要任务</w:t>
      </w:r>
    </w:p>
    <w:p w14:paraId="0395CA52">
      <w:pPr>
        <w:numPr>
          <w:ilvl w:val="0"/>
          <w:numId w:val="0"/>
        </w:numPr>
        <w:ind w:firstLine="560" w:firstLineChars="200"/>
        <w:jc w:val="left"/>
        <w:rPr>
          <w:rFonts w:hint="eastAsia" w:asciiTheme="majorEastAsia" w:hAnsiTheme="majorEastAsia" w:eastAsiaTheme="majorEastAsia" w:cstheme="majorEastAsia"/>
          <w:b w:val="0"/>
          <w:bCs w:val="0"/>
          <w:sz w:val="28"/>
          <w:szCs w:val="36"/>
          <w:lang w:val="en-US" w:eastAsia="zh-CN"/>
        </w:rPr>
      </w:pPr>
      <w:r>
        <w:rPr>
          <w:rFonts w:hint="eastAsia" w:asciiTheme="majorEastAsia" w:hAnsiTheme="majorEastAsia" w:eastAsiaTheme="majorEastAsia" w:cstheme="majorEastAsia"/>
          <w:b w:val="0"/>
          <w:bCs w:val="0"/>
          <w:sz w:val="28"/>
          <w:szCs w:val="36"/>
          <w:lang w:val="en-US" w:eastAsia="zh-CN"/>
        </w:rPr>
        <w:t>茂名市电白区润鲜海洋产业发展有限公司拟投资建设润鲜现代化海洋牧场创新园三期（备选区5号），为保障申海项目的整体性和连贯性，拟对海域使用权申请前期技术服务进行采购，服务内容包括海域水下地形测量；海域地质浅地层探测及柱状取样；可行性研究报告；海域使用论证报告（含宗海图及权籍调查）；环境影响评价报告（含海洋环境调查数据）；航道通航条件影响评价报告。</w:t>
      </w:r>
    </w:p>
    <w:p w14:paraId="1CE9CEA3">
      <w:pPr>
        <w:jc w:val="left"/>
        <w:rPr>
          <w:rFonts w:hint="eastAsia" w:asciiTheme="majorEastAsia" w:hAnsiTheme="majorEastAsia" w:eastAsiaTheme="majorEastAsia" w:cstheme="majorEastAsia"/>
          <w:b/>
          <w:bCs/>
          <w:sz w:val="28"/>
          <w:szCs w:val="36"/>
          <w:lang w:val="en-US" w:eastAsia="zh-CN"/>
        </w:rPr>
      </w:pPr>
      <w:r>
        <w:rPr>
          <w:rFonts w:hint="eastAsia" w:asciiTheme="majorEastAsia" w:hAnsiTheme="majorEastAsia" w:eastAsiaTheme="majorEastAsia" w:cstheme="majorEastAsia"/>
          <w:b/>
          <w:bCs/>
          <w:sz w:val="28"/>
          <w:szCs w:val="36"/>
          <w:lang w:val="en-US" w:eastAsia="zh-CN"/>
        </w:rPr>
        <w:t>二、服务内容</w:t>
      </w:r>
    </w:p>
    <w:tbl>
      <w:tblPr>
        <w:tblStyle w:val="7"/>
        <w:tblW w:w="8513" w:type="dxa"/>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975"/>
        <w:gridCol w:w="1225"/>
        <w:gridCol w:w="6313"/>
      </w:tblGrid>
      <w:tr w14:paraId="0C479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63" w:hRule="atLeast"/>
        </w:trPr>
        <w:tc>
          <w:tcPr>
            <w:tcW w:w="975" w:type="dxa"/>
            <w:tcBorders>
              <w:top w:val="single" w:color="000000" w:sz="4" w:space="0"/>
              <w:left w:val="single" w:color="000000" w:sz="4" w:space="0"/>
              <w:bottom w:val="single" w:color="auto" w:sz="4" w:space="0"/>
              <w:right w:val="single" w:color="000000" w:sz="4" w:space="0"/>
            </w:tcBorders>
            <w:shd w:val="clear" w:color="auto" w:fill="auto"/>
            <w:vAlign w:val="top"/>
          </w:tcPr>
          <w:p w14:paraId="5B7911F9">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内容</w:t>
            </w:r>
          </w:p>
        </w:tc>
        <w:tc>
          <w:tcPr>
            <w:tcW w:w="1225" w:type="dxa"/>
            <w:tcBorders>
              <w:top w:val="single" w:color="000000" w:sz="4" w:space="0"/>
              <w:left w:val="single" w:color="000000" w:sz="4" w:space="0"/>
              <w:bottom w:val="single" w:color="auto" w:sz="4" w:space="0"/>
              <w:right w:val="single" w:color="000000" w:sz="4" w:space="0"/>
            </w:tcBorders>
            <w:shd w:val="clear" w:color="auto" w:fill="auto"/>
            <w:vAlign w:val="top"/>
          </w:tcPr>
          <w:p w14:paraId="4AA9DD68">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序号</w:t>
            </w:r>
          </w:p>
        </w:tc>
        <w:tc>
          <w:tcPr>
            <w:tcW w:w="6313" w:type="dxa"/>
            <w:tcBorders>
              <w:top w:val="single" w:color="000000" w:sz="4" w:space="0"/>
              <w:left w:val="single" w:color="000000" w:sz="4" w:space="0"/>
              <w:bottom w:val="single" w:color="auto" w:sz="4" w:space="0"/>
              <w:right w:val="single" w:color="000000" w:sz="4" w:space="0"/>
            </w:tcBorders>
            <w:shd w:val="clear" w:color="auto" w:fill="auto"/>
            <w:vAlign w:val="top"/>
          </w:tcPr>
          <w:p w14:paraId="28C0924D">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项 目</w:t>
            </w:r>
          </w:p>
        </w:tc>
      </w:tr>
      <w:tr w14:paraId="7E0A5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975" w:type="dxa"/>
            <w:vMerge w:val="restart"/>
            <w:tcBorders>
              <w:top w:val="nil"/>
              <w:left w:val="single" w:color="auto" w:sz="4" w:space="0"/>
              <w:right w:val="single" w:color="000000" w:sz="4" w:space="0"/>
            </w:tcBorders>
            <w:shd w:val="clear" w:color="auto" w:fill="auto"/>
            <w:vAlign w:val="top"/>
          </w:tcPr>
          <w:p w14:paraId="78583562">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top"/>
          </w:tcPr>
          <w:p w14:paraId="11737375">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1</w:t>
            </w:r>
          </w:p>
        </w:tc>
        <w:tc>
          <w:tcPr>
            <w:tcW w:w="6313" w:type="dxa"/>
            <w:tcBorders>
              <w:top w:val="single" w:color="000000" w:sz="4" w:space="0"/>
              <w:left w:val="single" w:color="000000" w:sz="4" w:space="0"/>
              <w:bottom w:val="single" w:color="000000" w:sz="4" w:space="0"/>
              <w:right w:val="single" w:color="auto" w:sz="4" w:space="0"/>
            </w:tcBorders>
            <w:shd w:val="clear" w:color="auto" w:fill="auto"/>
            <w:vAlign w:val="top"/>
          </w:tcPr>
          <w:p w14:paraId="32F64E71">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海域水下地形测量</w:t>
            </w:r>
          </w:p>
        </w:tc>
      </w:tr>
      <w:tr w14:paraId="25B65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975" w:type="dxa"/>
            <w:vMerge w:val="continue"/>
            <w:tcBorders>
              <w:top w:val="nil"/>
              <w:left w:val="single" w:color="auto" w:sz="4" w:space="0"/>
              <w:bottom w:val="nil"/>
              <w:right w:val="single" w:color="000000" w:sz="4" w:space="0"/>
            </w:tcBorders>
            <w:shd w:val="clear" w:color="auto" w:fill="auto"/>
            <w:vAlign w:val="top"/>
          </w:tcPr>
          <w:p w14:paraId="3CDEA20C">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top"/>
          </w:tcPr>
          <w:p w14:paraId="0C93F15F">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2</w:t>
            </w:r>
          </w:p>
        </w:tc>
        <w:tc>
          <w:tcPr>
            <w:tcW w:w="6313" w:type="dxa"/>
            <w:tcBorders>
              <w:top w:val="single" w:color="000000" w:sz="4" w:space="0"/>
              <w:left w:val="single" w:color="000000" w:sz="4" w:space="0"/>
              <w:bottom w:val="single" w:color="000000" w:sz="4" w:space="0"/>
              <w:right w:val="single" w:color="auto" w:sz="4" w:space="0"/>
            </w:tcBorders>
            <w:shd w:val="clear" w:color="auto" w:fill="auto"/>
            <w:vAlign w:val="top"/>
          </w:tcPr>
          <w:p w14:paraId="3E7E9665">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海域地质浅地层探测及柱状取样</w:t>
            </w:r>
          </w:p>
        </w:tc>
      </w:tr>
      <w:tr w14:paraId="13F33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59" w:hRule="atLeast"/>
        </w:trPr>
        <w:tc>
          <w:tcPr>
            <w:tcW w:w="975" w:type="dxa"/>
            <w:vMerge w:val="continue"/>
            <w:tcBorders>
              <w:top w:val="nil"/>
              <w:left w:val="single" w:color="auto" w:sz="4" w:space="0"/>
              <w:bottom w:val="nil"/>
              <w:right w:val="single" w:color="000000" w:sz="4" w:space="0"/>
            </w:tcBorders>
            <w:shd w:val="clear" w:color="auto" w:fill="auto"/>
            <w:vAlign w:val="top"/>
          </w:tcPr>
          <w:p w14:paraId="7EEECE5A">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top"/>
          </w:tcPr>
          <w:p w14:paraId="04295B71">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3</w:t>
            </w:r>
          </w:p>
        </w:tc>
        <w:tc>
          <w:tcPr>
            <w:tcW w:w="6313" w:type="dxa"/>
            <w:tcBorders>
              <w:top w:val="single" w:color="000000" w:sz="4" w:space="0"/>
              <w:left w:val="single" w:color="000000" w:sz="4" w:space="0"/>
              <w:bottom w:val="single" w:color="000000" w:sz="4" w:space="0"/>
              <w:right w:val="single" w:color="auto" w:sz="4" w:space="0"/>
            </w:tcBorders>
            <w:shd w:val="clear" w:color="auto" w:fill="auto"/>
            <w:vAlign w:val="top"/>
          </w:tcPr>
          <w:p w14:paraId="2E31CF56">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项目可行性研究报告</w:t>
            </w:r>
          </w:p>
        </w:tc>
      </w:tr>
      <w:tr w14:paraId="7086A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975" w:type="dxa"/>
            <w:vMerge w:val="continue"/>
            <w:tcBorders>
              <w:top w:val="nil"/>
              <w:left w:val="single" w:color="auto" w:sz="4" w:space="0"/>
              <w:bottom w:val="nil"/>
              <w:right w:val="single" w:color="000000" w:sz="4" w:space="0"/>
            </w:tcBorders>
            <w:shd w:val="clear" w:color="auto" w:fill="auto"/>
            <w:vAlign w:val="top"/>
          </w:tcPr>
          <w:p w14:paraId="451B6059">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top"/>
          </w:tcPr>
          <w:p w14:paraId="1FBDB6A1">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4</w:t>
            </w:r>
          </w:p>
        </w:tc>
        <w:tc>
          <w:tcPr>
            <w:tcW w:w="6313" w:type="dxa"/>
            <w:tcBorders>
              <w:top w:val="single" w:color="000000" w:sz="4" w:space="0"/>
              <w:left w:val="single" w:color="000000" w:sz="4" w:space="0"/>
              <w:bottom w:val="single" w:color="000000" w:sz="4" w:space="0"/>
              <w:right w:val="single" w:color="auto" w:sz="4" w:space="0"/>
            </w:tcBorders>
            <w:shd w:val="clear" w:color="auto" w:fill="auto"/>
            <w:vAlign w:val="top"/>
          </w:tcPr>
          <w:p w14:paraId="4A03F53E">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海域使用论证报告（含宗海图及权籍调查）</w:t>
            </w:r>
          </w:p>
        </w:tc>
      </w:tr>
      <w:tr w14:paraId="5FC92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59" w:hRule="atLeast"/>
        </w:trPr>
        <w:tc>
          <w:tcPr>
            <w:tcW w:w="975" w:type="dxa"/>
            <w:vMerge w:val="continue"/>
            <w:tcBorders>
              <w:top w:val="nil"/>
              <w:left w:val="single" w:color="auto" w:sz="4" w:space="0"/>
              <w:bottom w:val="nil"/>
              <w:right w:val="single" w:color="000000" w:sz="4" w:space="0"/>
            </w:tcBorders>
            <w:shd w:val="clear" w:color="auto" w:fill="auto"/>
            <w:vAlign w:val="top"/>
          </w:tcPr>
          <w:p w14:paraId="48181195">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top"/>
          </w:tcPr>
          <w:p w14:paraId="1A67C93B">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5</w:t>
            </w:r>
          </w:p>
        </w:tc>
        <w:tc>
          <w:tcPr>
            <w:tcW w:w="6313" w:type="dxa"/>
            <w:tcBorders>
              <w:top w:val="single" w:color="000000" w:sz="4" w:space="0"/>
              <w:left w:val="single" w:color="000000" w:sz="4" w:space="0"/>
              <w:bottom w:val="single" w:color="000000" w:sz="4" w:space="0"/>
              <w:right w:val="single" w:color="auto" w:sz="4" w:space="0"/>
            </w:tcBorders>
            <w:shd w:val="clear" w:color="auto" w:fill="auto"/>
            <w:vAlign w:val="top"/>
          </w:tcPr>
          <w:p w14:paraId="3B92AA06">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环境影响评价报告（含海洋环境调查数据）</w:t>
            </w:r>
          </w:p>
        </w:tc>
      </w:tr>
      <w:tr w14:paraId="731E4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74" w:hRule="atLeast"/>
        </w:trPr>
        <w:tc>
          <w:tcPr>
            <w:tcW w:w="975" w:type="dxa"/>
            <w:vMerge w:val="continue"/>
            <w:tcBorders>
              <w:top w:val="nil"/>
              <w:left w:val="single" w:color="auto" w:sz="4" w:space="0"/>
              <w:bottom w:val="single" w:color="auto" w:sz="4" w:space="0"/>
              <w:right w:val="single" w:color="000000" w:sz="4" w:space="0"/>
            </w:tcBorders>
            <w:shd w:val="clear" w:color="auto" w:fill="auto"/>
            <w:vAlign w:val="top"/>
          </w:tcPr>
          <w:p w14:paraId="20327C70">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p>
        </w:tc>
        <w:tc>
          <w:tcPr>
            <w:tcW w:w="1225" w:type="dxa"/>
            <w:tcBorders>
              <w:top w:val="single" w:color="000000" w:sz="4" w:space="0"/>
              <w:left w:val="single" w:color="000000" w:sz="4" w:space="0"/>
              <w:bottom w:val="single" w:color="auto" w:sz="4" w:space="0"/>
              <w:right w:val="single" w:color="000000" w:sz="4" w:space="0"/>
            </w:tcBorders>
            <w:shd w:val="clear" w:color="auto" w:fill="auto"/>
            <w:vAlign w:val="top"/>
          </w:tcPr>
          <w:p w14:paraId="4AC9A34E">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6</w:t>
            </w:r>
          </w:p>
        </w:tc>
        <w:tc>
          <w:tcPr>
            <w:tcW w:w="6313" w:type="dxa"/>
            <w:tcBorders>
              <w:top w:val="single" w:color="000000" w:sz="4" w:space="0"/>
              <w:left w:val="single" w:color="000000" w:sz="4" w:space="0"/>
              <w:bottom w:val="single" w:color="auto" w:sz="4" w:space="0"/>
              <w:right w:val="single" w:color="auto" w:sz="4" w:space="0"/>
            </w:tcBorders>
            <w:shd w:val="clear" w:color="auto" w:fill="auto"/>
            <w:vAlign w:val="top"/>
          </w:tcPr>
          <w:p w14:paraId="5B577822">
            <w:pPr>
              <w:keepNext w:val="0"/>
              <w:keepLines w:val="0"/>
              <w:numPr>
                <w:ilvl w:val="0"/>
                <w:numId w:val="0"/>
              </w:numPr>
              <w:suppressLineNumbers w:val="0"/>
              <w:spacing w:before="0" w:beforeAutospacing="0" w:after="0" w:afterAutospacing="0"/>
              <w:ind w:left="0" w:right="0"/>
              <w:jc w:val="center"/>
              <w:rPr>
                <w:rFonts w:hint="default" w:asciiTheme="majorEastAsia" w:hAnsiTheme="majorEastAsia" w:eastAsiaTheme="majorEastAsia" w:cstheme="majorEastAsia"/>
                <w:b w:val="0"/>
                <w:bCs w:val="0"/>
                <w:sz w:val="28"/>
                <w:szCs w:val="36"/>
                <w:lang w:val="en-US" w:eastAsia="zh-CN"/>
              </w:rPr>
            </w:pPr>
            <w:r>
              <w:rPr>
                <w:rFonts w:hint="default" w:asciiTheme="majorEastAsia" w:hAnsiTheme="majorEastAsia" w:eastAsiaTheme="majorEastAsia" w:cstheme="majorEastAsia"/>
                <w:b w:val="0"/>
                <w:bCs w:val="0"/>
                <w:sz w:val="28"/>
                <w:szCs w:val="36"/>
                <w:lang w:val="en-US" w:eastAsia="zh-CN"/>
              </w:rPr>
              <w:t>航道通航条件影响评价报告</w:t>
            </w:r>
          </w:p>
        </w:tc>
      </w:tr>
    </w:tbl>
    <w:p w14:paraId="2543BFC6">
      <w:pPr>
        <w:numPr>
          <w:ilvl w:val="0"/>
          <w:numId w:val="0"/>
        </w:numPr>
        <w:jc w:val="left"/>
        <w:rPr>
          <w:rFonts w:hint="default" w:asciiTheme="majorEastAsia" w:hAnsiTheme="majorEastAsia" w:eastAsiaTheme="majorEastAsia" w:cstheme="majorEastAsia"/>
          <w:b/>
          <w:bCs/>
          <w:sz w:val="28"/>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ZmE2NmVhMjJiYmQ0OGYxODM2ZWY5YjdmYTEwMGEifQ=="/>
  </w:docVars>
  <w:rsids>
    <w:rsidRoot w:val="41C4386D"/>
    <w:rsid w:val="0C890B1E"/>
    <w:rsid w:val="28B1662D"/>
    <w:rsid w:val="2AB026F1"/>
    <w:rsid w:val="40916FD3"/>
    <w:rsid w:val="41C4386D"/>
    <w:rsid w:val="61C65B0C"/>
    <w:rsid w:val="705A3762"/>
    <w:rsid w:val="738A0917"/>
    <w:rsid w:val="7B762E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360" w:lineRule="auto"/>
    </w:pPr>
    <w:rPr>
      <w:szCs w:val="20"/>
    </w:rPr>
  </w:style>
  <w:style w:type="paragraph" w:styleId="3">
    <w:name w:val="Plain Text"/>
    <w:basedOn w:val="1"/>
    <w:next w:val="1"/>
    <w:qFormat/>
    <w:uiPriority w:val="0"/>
    <w:rPr>
      <w:rFonts w:ascii="宋体" w:hAnsi="Courier New" w:cs="Courier New"/>
    </w:rPr>
  </w:style>
  <w:style w:type="paragraph" w:styleId="4">
    <w:name w:val="Normal (Web)"/>
    <w:basedOn w:val="1"/>
    <w:qFormat/>
    <w:uiPriority w:val="0"/>
    <w:pPr>
      <w:widowControl/>
      <w:spacing w:before="100" w:beforeAutospacing="1" w:after="100" w:afterAutospacing="1"/>
      <w:jc w:val="left"/>
    </w:pPr>
    <w:rPr>
      <w:rFonts w:ascii="宋体" w:hAnsi="宋体" w:cs="Times New Roman"/>
      <w:color w:val="000000"/>
      <w:kern w:val="0"/>
      <w:sz w:val="24"/>
      <w:szCs w:val="20"/>
    </w:rPr>
  </w:style>
  <w:style w:type="table" w:customStyle="1" w:styleId="7">
    <w:name w:val="Table Normal"/>
    <w:basedOn w:val="5"/>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 w:type="paragraph" w:styleId="8">
    <w:name w:val="List Paragraph"/>
    <w:basedOn w:val="1"/>
    <w:qFormat/>
    <w:uiPriority w:val="34"/>
    <w:pPr>
      <w:ind w:firstLine="420" w:firstLineChars="200"/>
    </w:pPr>
    <w:rPr>
      <w:rFonts w:ascii="Times New Roman" w:hAnsi="Times New Roman"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325</Words>
  <Characters>327</Characters>
  <Lines>0</Lines>
  <Paragraphs>0</Paragraphs>
  <TotalTime>0</TotalTime>
  <ScaleCrop>false</ScaleCrop>
  <LinksUpToDate>false</LinksUpToDate>
  <CharactersWithSpaces>329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2024-04-17T07:24:00Z</dcterms:created>
  <dc:creator>文艳</dc:creator>
  <cp:lastModifiedBy>文艳</cp:lastModifiedBy>
  <dcterms:modified xsi:type="dcterms:W3CDTF">2026-08-11T09:57:57Z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A8E1717DCF6A494BA6184816BBB042B6_11</vt:lpwstr>
  </property>
  <property fmtid="{D5CDD505-2E9C-101B-9397-08002B2CF9AE}" pid="4" name="KSOTemplateDocerSaveRecord">
    <vt:lpwstr>eyJoZGlkIjoiYzUyOGM1ZGE4YzhkYzhmZmY5MTU3YmUxZjYwMzYxOTciLCJ1c2VySWQiOiIyODE1MDYzOTkifQ==</vt:lpwstr>
  </property>
</Properties>
</file>